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96F86" w14:textId="77777777" w:rsidR="00EC7E59" w:rsidRPr="00EC7E59" w:rsidRDefault="00EC7E59" w:rsidP="00EC7E59">
      <w:pPr>
        <w:rPr>
          <w:b/>
          <w:bCs/>
          <w:color w:val="auto"/>
        </w:rPr>
      </w:pPr>
      <w:r w:rsidRPr="00EC7E59">
        <w:rPr>
          <w:b/>
          <w:bCs/>
          <w:color w:val="auto"/>
        </w:rPr>
        <w:t>GASMIG POSSUI CINCO CONTRATO COM SUPRIDORAS DE MOLÉCULAS DE GÁS</w:t>
      </w:r>
    </w:p>
    <w:p w14:paraId="2B2823B3" w14:textId="77777777" w:rsidR="00EC7E59" w:rsidRPr="00EC7E59" w:rsidRDefault="00EC7E59" w:rsidP="00EC7E59">
      <w:pPr>
        <w:rPr>
          <w:color w:val="auto"/>
        </w:rPr>
      </w:pPr>
    </w:p>
    <w:p w14:paraId="3DEE5076" w14:textId="77777777" w:rsidR="00EC7E59" w:rsidRPr="00EC7E59" w:rsidRDefault="00EC7E59" w:rsidP="00EC7E59">
      <w:pPr>
        <w:rPr>
          <w:color w:val="auto"/>
        </w:rPr>
      </w:pPr>
      <w:r w:rsidRPr="00EC7E59">
        <w:rPr>
          <w:color w:val="auto"/>
        </w:rPr>
        <w:t>A Gasmig tem cinco contratos com supridoras de molécula de gás. Os contratos foram formalizados e publicados pela Agência Nacional de Petróleo, Gás Natural e Biocombustíveis (ANP).</w:t>
      </w:r>
    </w:p>
    <w:p w14:paraId="7A918ED0" w14:textId="77777777" w:rsidR="00EC7E59" w:rsidRPr="00EC7E59" w:rsidRDefault="00EC7E59" w:rsidP="00EC7E59">
      <w:pPr>
        <w:rPr>
          <w:color w:val="auto"/>
        </w:rPr>
      </w:pPr>
      <w:r w:rsidRPr="00EC7E59">
        <w:rPr>
          <w:color w:val="auto"/>
        </w:rPr>
        <w:t xml:space="preserve">Atualmente, a Companhia possui cinco supridores de molécula de gás natural: Petrobras, Galp, Shell, </w:t>
      </w:r>
      <w:proofErr w:type="spellStart"/>
      <w:r w:rsidRPr="00EC7E59">
        <w:rPr>
          <w:color w:val="auto"/>
        </w:rPr>
        <w:t>Equinor</w:t>
      </w:r>
      <w:proofErr w:type="spellEnd"/>
      <w:r w:rsidRPr="00EC7E59">
        <w:rPr>
          <w:color w:val="auto"/>
        </w:rPr>
        <w:t xml:space="preserve"> e </w:t>
      </w:r>
      <w:proofErr w:type="spellStart"/>
      <w:r w:rsidRPr="00EC7E59">
        <w:rPr>
          <w:color w:val="auto"/>
        </w:rPr>
        <w:t>Logas</w:t>
      </w:r>
      <w:proofErr w:type="spellEnd"/>
      <w:r w:rsidRPr="00EC7E59">
        <w:rPr>
          <w:color w:val="auto"/>
        </w:rPr>
        <w:t xml:space="preserve">. </w:t>
      </w:r>
    </w:p>
    <w:p w14:paraId="3D20BA7F" w14:textId="77777777" w:rsidR="00EC7E59" w:rsidRPr="00EC7E59" w:rsidRDefault="00EC7E59" w:rsidP="00EC7E59">
      <w:pPr>
        <w:rPr>
          <w:color w:val="auto"/>
        </w:rPr>
      </w:pPr>
      <w:r w:rsidRPr="00EC7E59">
        <w:rPr>
          <w:color w:val="auto"/>
        </w:rPr>
        <w:t>“Desde o início a estratégia da Gasmig foi se inserir na abertura do mercado de gás, sendo um player relevante e buscando sempre a tarifa mais barata para o mercado mineiro”, conta Lucas de Carvalho Gomes, Gerente de Regulação e Aquisição de Gás da Gasmig.</w:t>
      </w:r>
    </w:p>
    <w:p w14:paraId="2B9F7A92" w14:textId="77777777" w:rsidR="00EC7E59" w:rsidRPr="00EC7E59" w:rsidRDefault="00EC7E59" w:rsidP="00EC7E59">
      <w:pPr>
        <w:rPr>
          <w:b/>
          <w:bCs/>
          <w:color w:val="auto"/>
        </w:rPr>
      </w:pPr>
      <w:proofErr w:type="spellStart"/>
      <w:r w:rsidRPr="00EC7E59">
        <w:rPr>
          <w:b/>
          <w:bCs/>
          <w:color w:val="auto"/>
        </w:rPr>
        <w:t>Equinor</w:t>
      </w:r>
      <w:proofErr w:type="spellEnd"/>
    </w:p>
    <w:p w14:paraId="202E041D" w14:textId="77777777" w:rsidR="00EC7E59" w:rsidRPr="00EC7E59" w:rsidRDefault="00EC7E59" w:rsidP="00EC7E59">
      <w:pPr>
        <w:rPr>
          <w:color w:val="auto"/>
        </w:rPr>
      </w:pPr>
      <w:r w:rsidRPr="00EC7E59">
        <w:rPr>
          <w:color w:val="auto"/>
        </w:rPr>
        <w:t>O contrato com a empresa é de cinco anos e possui precificação mista. Ou seja, com o gás indexado em parte ao petróleo Brent e parte ao Henry Hub, a referência do preço do gás nos Estados Unidos.</w:t>
      </w:r>
    </w:p>
    <w:p w14:paraId="2060948B" w14:textId="77777777" w:rsidR="00EC7E59" w:rsidRPr="00EC7E59" w:rsidRDefault="00EC7E59" w:rsidP="00EC7E59">
      <w:pPr>
        <w:rPr>
          <w:color w:val="auto"/>
        </w:rPr>
      </w:pPr>
      <w:r w:rsidRPr="00EC7E59">
        <w:rPr>
          <w:color w:val="auto"/>
        </w:rPr>
        <w:t>Volumes previstos para entrega:</w:t>
      </w:r>
    </w:p>
    <w:p w14:paraId="342F6154" w14:textId="77777777" w:rsidR="00EC7E59" w:rsidRPr="00EC7E59" w:rsidRDefault="00EC7E59" w:rsidP="00EC7E59">
      <w:pPr>
        <w:pStyle w:val="PargrafodaLista"/>
        <w:numPr>
          <w:ilvl w:val="0"/>
          <w:numId w:val="2"/>
        </w:numPr>
        <w:spacing w:after="160" w:line="278" w:lineRule="auto"/>
        <w:ind w:right="0"/>
        <w:jc w:val="left"/>
        <w:rPr>
          <w:color w:val="auto"/>
        </w:rPr>
      </w:pPr>
      <w:r w:rsidRPr="00EC7E59">
        <w:rPr>
          <w:color w:val="auto"/>
        </w:rPr>
        <w:t xml:space="preserve">100 mil m3/dia em 2024; </w:t>
      </w:r>
    </w:p>
    <w:p w14:paraId="18B59C46" w14:textId="77777777" w:rsidR="00EC7E59" w:rsidRPr="00EC7E59" w:rsidRDefault="00EC7E59" w:rsidP="00EC7E59">
      <w:pPr>
        <w:pStyle w:val="PargrafodaLista"/>
        <w:numPr>
          <w:ilvl w:val="0"/>
          <w:numId w:val="2"/>
        </w:numPr>
        <w:spacing w:after="160" w:line="278" w:lineRule="auto"/>
        <w:ind w:right="0"/>
        <w:jc w:val="left"/>
        <w:rPr>
          <w:color w:val="auto"/>
        </w:rPr>
      </w:pPr>
      <w:r w:rsidRPr="00EC7E59">
        <w:rPr>
          <w:color w:val="auto"/>
        </w:rPr>
        <w:t xml:space="preserve">150 mil m3/dia em 2025; e </w:t>
      </w:r>
    </w:p>
    <w:p w14:paraId="0A38EB38" w14:textId="77777777" w:rsidR="00EC7E59" w:rsidRPr="00EC7E59" w:rsidRDefault="00EC7E59" w:rsidP="00EC7E59">
      <w:pPr>
        <w:pStyle w:val="PargrafodaLista"/>
        <w:numPr>
          <w:ilvl w:val="0"/>
          <w:numId w:val="2"/>
        </w:numPr>
        <w:spacing w:after="160" w:line="278" w:lineRule="auto"/>
        <w:ind w:right="0"/>
        <w:jc w:val="left"/>
        <w:rPr>
          <w:color w:val="auto"/>
        </w:rPr>
      </w:pPr>
      <w:r w:rsidRPr="00EC7E59">
        <w:rPr>
          <w:color w:val="auto"/>
        </w:rPr>
        <w:t>100 mil m3/dia entre 2026 e 2028.</w:t>
      </w:r>
    </w:p>
    <w:p w14:paraId="44A48940" w14:textId="77777777" w:rsidR="00EC7E59" w:rsidRPr="00EC7E59" w:rsidRDefault="00EC7E59" w:rsidP="00EC7E59">
      <w:pPr>
        <w:rPr>
          <w:b/>
          <w:bCs/>
          <w:color w:val="auto"/>
        </w:rPr>
      </w:pPr>
      <w:r w:rsidRPr="00EC7E59">
        <w:rPr>
          <w:b/>
          <w:bCs/>
          <w:color w:val="auto"/>
        </w:rPr>
        <w:t>Galp</w:t>
      </w:r>
    </w:p>
    <w:p w14:paraId="77324825" w14:textId="77777777" w:rsidR="00EC7E59" w:rsidRPr="00EC7E59" w:rsidRDefault="00EC7E59" w:rsidP="00EC7E59">
      <w:pPr>
        <w:rPr>
          <w:color w:val="auto"/>
        </w:rPr>
      </w:pPr>
      <w:r w:rsidRPr="00EC7E59">
        <w:rPr>
          <w:color w:val="auto"/>
        </w:rPr>
        <w:t>A empresa portuguesa possui um contrato com a Gasmig, sendo um dos mais longevos do mercado de gás, até o fim de 2042.</w:t>
      </w:r>
    </w:p>
    <w:p w14:paraId="5F06A2DC" w14:textId="77777777" w:rsidR="00EC7E59" w:rsidRPr="00EC7E59" w:rsidRDefault="00EC7E59" w:rsidP="00EC7E59">
      <w:pPr>
        <w:rPr>
          <w:color w:val="auto"/>
        </w:rPr>
      </w:pPr>
      <w:r w:rsidRPr="00EC7E59">
        <w:rPr>
          <w:color w:val="auto"/>
        </w:rPr>
        <w:t>Até 2025, o preço do petróleo Brent será indexado a 12,45%. Posteriormente, os contratos passam a ser indexados ao gás Henry Hub.</w:t>
      </w:r>
    </w:p>
    <w:p w14:paraId="1CA2AFA9" w14:textId="77777777" w:rsidR="00EC7E59" w:rsidRPr="00EC7E59" w:rsidRDefault="00EC7E59" w:rsidP="00EC7E59">
      <w:pPr>
        <w:rPr>
          <w:color w:val="auto"/>
        </w:rPr>
      </w:pPr>
      <w:r w:rsidRPr="00EC7E59">
        <w:rPr>
          <w:color w:val="auto"/>
        </w:rPr>
        <w:t>Volumes previstos em contrato:</w:t>
      </w:r>
    </w:p>
    <w:p w14:paraId="2839A2CA" w14:textId="77777777" w:rsidR="00EC7E59" w:rsidRPr="00EC7E59" w:rsidRDefault="00EC7E59" w:rsidP="00EC7E59">
      <w:pPr>
        <w:pStyle w:val="PargrafodaLista"/>
        <w:numPr>
          <w:ilvl w:val="0"/>
          <w:numId w:val="3"/>
        </w:numPr>
        <w:shd w:val="clear" w:color="auto" w:fill="FFFFFF"/>
        <w:spacing w:after="120" w:line="240" w:lineRule="auto"/>
        <w:ind w:right="0"/>
        <w:jc w:val="left"/>
        <w:textAlignment w:val="baseline"/>
        <w:rPr>
          <w:rFonts w:ascii="Roboto" w:eastAsia="Times New Roman" w:hAnsi="Roboto" w:cs="Times New Roman"/>
          <w:color w:val="auto"/>
        </w:rPr>
      </w:pPr>
      <w:r w:rsidRPr="00EC7E59">
        <w:rPr>
          <w:rFonts w:ascii="Roboto" w:eastAsia="Times New Roman" w:hAnsi="Roboto" w:cs="Times New Roman"/>
          <w:color w:val="auto"/>
        </w:rPr>
        <w:t>580 mil m3/dia entre 2024 e 2025;</w:t>
      </w:r>
    </w:p>
    <w:p w14:paraId="4626E24B" w14:textId="77777777" w:rsidR="00EC7E59" w:rsidRPr="00EC7E59" w:rsidRDefault="00EC7E59" w:rsidP="00EC7E59">
      <w:pPr>
        <w:pStyle w:val="PargrafodaLista"/>
        <w:numPr>
          <w:ilvl w:val="0"/>
          <w:numId w:val="3"/>
        </w:numPr>
        <w:shd w:val="clear" w:color="auto" w:fill="FFFFFF"/>
        <w:spacing w:after="120" w:line="240" w:lineRule="auto"/>
        <w:ind w:right="0"/>
        <w:jc w:val="left"/>
        <w:textAlignment w:val="baseline"/>
        <w:rPr>
          <w:rFonts w:ascii="Roboto" w:eastAsia="Times New Roman" w:hAnsi="Roboto" w:cs="Times New Roman"/>
          <w:color w:val="auto"/>
        </w:rPr>
      </w:pPr>
      <w:r w:rsidRPr="00EC7E59">
        <w:rPr>
          <w:rFonts w:ascii="Roboto" w:eastAsia="Times New Roman" w:hAnsi="Roboto" w:cs="Times New Roman"/>
          <w:color w:val="auto"/>
        </w:rPr>
        <w:t>900 mil m3/dia entre 2026 e 2032;</w:t>
      </w:r>
    </w:p>
    <w:p w14:paraId="5CC438F3" w14:textId="77777777" w:rsidR="00EC7E59" w:rsidRPr="00EC7E59" w:rsidRDefault="00EC7E59" w:rsidP="00EC7E59">
      <w:pPr>
        <w:pStyle w:val="PargrafodaLista"/>
        <w:numPr>
          <w:ilvl w:val="0"/>
          <w:numId w:val="3"/>
        </w:numPr>
        <w:shd w:val="clear" w:color="auto" w:fill="FFFFFF"/>
        <w:spacing w:after="120" w:line="240" w:lineRule="auto"/>
        <w:ind w:right="0"/>
        <w:jc w:val="left"/>
        <w:textAlignment w:val="baseline"/>
        <w:rPr>
          <w:rFonts w:ascii="Roboto" w:eastAsia="Times New Roman" w:hAnsi="Roboto" w:cs="Times New Roman"/>
          <w:color w:val="auto"/>
        </w:rPr>
      </w:pPr>
      <w:r w:rsidRPr="00EC7E59">
        <w:rPr>
          <w:rFonts w:ascii="Roboto" w:eastAsia="Times New Roman" w:hAnsi="Roboto" w:cs="Times New Roman"/>
          <w:color w:val="auto"/>
        </w:rPr>
        <w:t>800 mil m3/dia entre 2033 e 2034;</w:t>
      </w:r>
    </w:p>
    <w:p w14:paraId="6EC9BD15" w14:textId="77777777" w:rsidR="00EC7E59" w:rsidRPr="00EC7E59" w:rsidRDefault="00EC7E59" w:rsidP="00EC7E59">
      <w:pPr>
        <w:pStyle w:val="PargrafodaLista"/>
        <w:numPr>
          <w:ilvl w:val="0"/>
          <w:numId w:val="3"/>
        </w:numPr>
        <w:shd w:val="clear" w:color="auto" w:fill="FFFFFF"/>
        <w:spacing w:after="120" w:line="240" w:lineRule="auto"/>
        <w:ind w:right="0"/>
        <w:jc w:val="left"/>
        <w:textAlignment w:val="baseline"/>
        <w:rPr>
          <w:rFonts w:ascii="Roboto" w:eastAsia="Times New Roman" w:hAnsi="Roboto" w:cs="Times New Roman"/>
          <w:color w:val="auto"/>
        </w:rPr>
      </w:pPr>
      <w:r w:rsidRPr="00EC7E59">
        <w:rPr>
          <w:rFonts w:ascii="Roboto" w:eastAsia="Times New Roman" w:hAnsi="Roboto" w:cs="Times New Roman"/>
          <w:color w:val="auto"/>
        </w:rPr>
        <w:t>700 mil m3/dia entre 2035 e 2036;</w:t>
      </w:r>
    </w:p>
    <w:p w14:paraId="4C67C3AB" w14:textId="77777777" w:rsidR="00EC7E59" w:rsidRPr="00EC7E59" w:rsidRDefault="00EC7E59" w:rsidP="00EC7E59">
      <w:pPr>
        <w:pStyle w:val="PargrafodaLista"/>
        <w:numPr>
          <w:ilvl w:val="0"/>
          <w:numId w:val="3"/>
        </w:numPr>
        <w:shd w:val="clear" w:color="auto" w:fill="FFFFFF"/>
        <w:spacing w:after="120" w:line="240" w:lineRule="auto"/>
        <w:ind w:right="0"/>
        <w:jc w:val="left"/>
        <w:textAlignment w:val="baseline"/>
        <w:rPr>
          <w:rFonts w:ascii="Roboto" w:eastAsia="Times New Roman" w:hAnsi="Roboto" w:cs="Times New Roman"/>
          <w:color w:val="auto"/>
        </w:rPr>
      </w:pPr>
      <w:r w:rsidRPr="00EC7E59">
        <w:rPr>
          <w:rFonts w:ascii="Roboto" w:eastAsia="Times New Roman" w:hAnsi="Roboto" w:cs="Times New Roman"/>
          <w:color w:val="auto"/>
        </w:rPr>
        <w:t>600 mil m3/dia entre 2037 e 2038;</w:t>
      </w:r>
    </w:p>
    <w:p w14:paraId="43CA4678" w14:textId="77777777" w:rsidR="00EC7E59" w:rsidRPr="00EC7E59" w:rsidRDefault="00EC7E59" w:rsidP="00EC7E59">
      <w:pPr>
        <w:pStyle w:val="PargrafodaLista"/>
        <w:numPr>
          <w:ilvl w:val="0"/>
          <w:numId w:val="3"/>
        </w:numPr>
        <w:shd w:val="clear" w:color="auto" w:fill="FFFFFF"/>
        <w:spacing w:after="120" w:line="240" w:lineRule="auto"/>
        <w:ind w:right="0"/>
        <w:jc w:val="left"/>
        <w:textAlignment w:val="baseline"/>
        <w:rPr>
          <w:rFonts w:ascii="Roboto" w:eastAsia="Times New Roman" w:hAnsi="Roboto" w:cs="Times New Roman"/>
          <w:color w:val="auto"/>
        </w:rPr>
      </w:pPr>
      <w:r w:rsidRPr="00EC7E59">
        <w:rPr>
          <w:rFonts w:ascii="Roboto" w:eastAsia="Times New Roman" w:hAnsi="Roboto" w:cs="Times New Roman"/>
          <w:color w:val="auto"/>
        </w:rPr>
        <w:t>500 mil m3/dia entre 2039 e 2040; e</w:t>
      </w:r>
    </w:p>
    <w:p w14:paraId="41FE5125" w14:textId="77777777" w:rsidR="00EC7E59" w:rsidRPr="00EC7E59" w:rsidRDefault="00EC7E59" w:rsidP="00EC7E59">
      <w:pPr>
        <w:pStyle w:val="PargrafodaLista"/>
        <w:numPr>
          <w:ilvl w:val="0"/>
          <w:numId w:val="3"/>
        </w:numPr>
        <w:shd w:val="clear" w:color="auto" w:fill="FFFFFF"/>
        <w:spacing w:after="120" w:line="240" w:lineRule="auto"/>
        <w:ind w:right="0"/>
        <w:jc w:val="left"/>
        <w:textAlignment w:val="baseline"/>
        <w:rPr>
          <w:rFonts w:ascii="Roboto" w:eastAsia="Times New Roman" w:hAnsi="Roboto" w:cs="Times New Roman"/>
          <w:color w:val="auto"/>
        </w:rPr>
      </w:pPr>
      <w:r w:rsidRPr="00EC7E59">
        <w:rPr>
          <w:rFonts w:ascii="Roboto" w:eastAsia="Times New Roman" w:hAnsi="Roboto" w:cs="Times New Roman"/>
          <w:color w:val="auto"/>
        </w:rPr>
        <w:t>250 mil m3/dia entre 2041 e 2042.</w:t>
      </w:r>
    </w:p>
    <w:p w14:paraId="547BD354" w14:textId="77777777" w:rsidR="00EC7E59" w:rsidRPr="00EC7E59" w:rsidRDefault="00EC7E59" w:rsidP="00EC7E59">
      <w:pPr>
        <w:rPr>
          <w:b/>
          <w:bCs/>
          <w:color w:val="auto"/>
        </w:rPr>
      </w:pPr>
      <w:r w:rsidRPr="00EC7E59">
        <w:rPr>
          <w:b/>
          <w:bCs/>
          <w:color w:val="auto"/>
        </w:rPr>
        <w:t>Shell e Petrobrás</w:t>
      </w:r>
    </w:p>
    <w:p w14:paraId="2D672405" w14:textId="77777777" w:rsidR="00EC7E59" w:rsidRPr="00EC7E59" w:rsidRDefault="00EC7E59" w:rsidP="00EC7E59">
      <w:pPr>
        <w:rPr>
          <w:color w:val="auto"/>
        </w:rPr>
      </w:pPr>
      <w:r w:rsidRPr="00EC7E59">
        <w:rPr>
          <w:color w:val="auto"/>
        </w:rPr>
        <w:t>A empresa britânica também possui contrato vigente com a Companhia de Gás de Minas Gerais. Presente no Brasil desde 1913, a Shell entrega volumes de moléculas de gás na ordem 210</w:t>
      </w:r>
      <w:r w:rsidRPr="00EC7E59">
        <w:rPr>
          <w:rFonts w:ascii="Roboto" w:eastAsia="Times New Roman" w:hAnsi="Roboto" w:cs="Times New Roman"/>
          <w:color w:val="auto"/>
        </w:rPr>
        <w:t xml:space="preserve"> mil m3/dia</w:t>
      </w:r>
      <w:r w:rsidRPr="00EC7E59">
        <w:rPr>
          <w:color w:val="auto"/>
        </w:rPr>
        <w:t xml:space="preserve"> em 2024, e 150 </w:t>
      </w:r>
      <w:r w:rsidRPr="00EC7E59">
        <w:rPr>
          <w:rFonts w:ascii="Roboto" w:eastAsia="Times New Roman" w:hAnsi="Roboto" w:cs="Times New Roman"/>
          <w:color w:val="auto"/>
        </w:rPr>
        <w:t>mil m3/dia, em 20</w:t>
      </w:r>
      <w:r w:rsidRPr="00EC7E59">
        <w:rPr>
          <w:color w:val="auto"/>
        </w:rPr>
        <w:t>25.</w:t>
      </w:r>
    </w:p>
    <w:p w14:paraId="68DD99DF" w14:textId="77777777" w:rsidR="00EC7E59" w:rsidRPr="00EC7E59" w:rsidRDefault="00EC7E59" w:rsidP="00EC7E59">
      <w:pPr>
        <w:rPr>
          <w:color w:val="auto"/>
        </w:rPr>
      </w:pPr>
      <w:r w:rsidRPr="00EC7E59">
        <w:rPr>
          <w:color w:val="auto"/>
        </w:rPr>
        <w:t xml:space="preserve">Antiga monopolista brasileira do setor, a Petrobrás possui três contratos ativos com vigências e precificações distintas. </w:t>
      </w:r>
    </w:p>
    <w:p w14:paraId="5DC0C24A" w14:textId="518955B2" w:rsidR="00C35112" w:rsidRPr="00EC7E59" w:rsidRDefault="00C35112" w:rsidP="00EC7E59">
      <w:pPr>
        <w:rPr>
          <w:color w:val="auto"/>
        </w:rPr>
      </w:pPr>
    </w:p>
    <w:sectPr w:rsidR="00C35112" w:rsidRPr="00EC7E59" w:rsidSect="00116E81">
      <w:headerReference w:type="default" r:id="rId7"/>
      <w:pgSz w:w="11910" w:h="16845"/>
      <w:pgMar w:top="1440" w:right="1389" w:bottom="851" w:left="1429" w:header="720" w:footer="720" w:gutter="0"/>
      <w:cols w:space="720"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1F7ED" w14:textId="77777777" w:rsidR="00116E81" w:rsidRDefault="00116E81" w:rsidP="00B06612">
      <w:pPr>
        <w:spacing w:after="0" w:line="240" w:lineRule="auto"/>
      </w:pPr>
      <w:r>
        <w:separator/>
      </w:r>
    </w:p>
  </w:endnote>
  <w:endnote w:type="continuationSeparator" w:id="0">
    <w:p w14:paraId="0787B3DC" w14:textId="77777777" w:rsidR="00116E81" w:rsidRDefault="00116E81" w:rsidP="00B0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24D74" w14:textId="77777777" w:rsidR="00116E81" w:rsidRDefault="00116E81" w:rsidP="00B06612">
      <w:pPr>
        <w:spacing w:after="0" w:line="240" w:lineRule="auto"/>
      </w:pPr>
      <w:r>
        <w:separator/>
      </w:r>
    </w:p>
  </w:footnote>
  <w:footnote w:type="continuationSeparator" w:id="0">
    <w:p w14:paraId="0FE59301" w14:textId="77777777" w:rsidR="00116E81" w:rsidRDefault="00116E81" w:rsidP="00B06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7247" w14:textId="3B9C6136" w:rsidR="008660D6" w:rsidRDefault="008660D6">
    <w:pPr>
      <w:pStyle w:val="Cabealho"/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4FBB99" wp14:editId="1157F362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760000" cy="36000"/>
              <wp:effectExtent l="0" t="0" r="635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760000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FF540E" id="Retângulo 2" o:spid="_x0000_s1026" style="position:absolute;margin-left:402.35pt;margin-top:26.45pt;width:453.55pt;height:2.85pt;flip:y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9264" behindDoc="0" locked="0" layoutInCell="1" allowOverlap="1" wp14:anchorId="01DF2F77" wp14:editId="06B135D8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4" name="Imagem 4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7D3A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96529"/>
    <w:multiLevelType w:val="hybridMultilevel"/>
    <w:tmpl w:val="0B7CE7C4"/>
    <w:lvl w:ilvl="0" w:tplc="0416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4D97621A"/>
    <w:multiLevelType w:val="hybridMultilevel"/>
    <w:tmpl w:val="7BDAD3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D62657"/>
    <w:multiLevelType w:val="hybridMultilevel"/>
    <w:tmpl w:val="1DA813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976077">
    <w:abstractNumId w:val="0"/>
  </w:num>
  <w:num w:numId="2" w16cid:durableId="1151019552">
    <w:abstractNumId w:val="1"/>
  </w:num>
  <w:num w:numId="3" w16cid:durableId="211698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F17"/>
    <w:rsid w:val="00031A2F"/>
    <w:rsid w:val="000A4BB9"/>
    <w:rsid w:val="000B6499"/>
    <w:rsid w:val="00100722"/>
    <w:rsid w:val="00112C01"/>
    <w:rsid w:val="00116E81"/>
    <w:rsid w:val="00124CD6"/>
    <w:rsid w:val="0013729E"/>
    <w:rsid w:val="00141AFA"/>
    <w:rsid w:val="001427E0"/>
    <w:rsid w:val="00147ACA"/>
    <w:rsid w:val="001C28C5"/>
    <w:rsid w:val="001C54BE"/>
    <w:rsid w:val="001D51AE"/>
    <w:rsid w:val="001E3316"/>
    <w:rsid w:val="00213506"/>
    <w:rsid w:val="00216600"/>
    <w:rsid w:val="002B1CCE"/>
    <w:rsid w:val="0031121F"/>
    <w:rsid w:val="0032520C"/>
    <w:rsid w:val="00331545"/>
    <w:rsid w:val="00367263"/>
    <w:rsid w:val="00377DD8"/>
    <w:rsid w:val="003D7B16"/>
    <w:rsid w:val="003F1180"/>
    <w:rsid w:val="0040665A"/>
    <w:rsid w:val="004945DC"/>
    <w:rsid w:val="004B7A7D"/>
    <w:rsid w:val="004E6D61"/>
    <w:rsid w:val="005413AA"/>
    <w:rsid w:val="005E2C39"/>
    <w:rsid w:val="005F26A2"/>
    <w:rsid w:val="006025E1"/>
    <w:rsid w:val="006246EB"/>
    <w:rsid w:val="00651537"/>
    <w:rsid w:val="006F3AC3"/>
    <w:rsid w:val="00704FCA"/>
    <w:rsid w:val="007410C3"/>
    <w:rsid w:val="007843F6"/>
    <w:rsid w:val="007C0058"/>
    <w:rsid w:val="0082712A"/>
    <w:rsid w:val="008660D6"/>
    <w:rsid w:val="008720CF"/>
    <w:rsid w:val="008B43EB"/>
    <w:rsid w:val="008B7C45"/>
    <w:rsid w:val="008F5F17"/>
    <w:rsid w:val="00986840"/>
    <w:rsid w:val="00993897"/>
    <w:rsid w:val="009A389C"/>
    <w:rsid w:val="00AC5F77"/>
    <w:rsid w:val="00AD2857"/>
    <w:rsid w:val="00B06612"/>
    <w:rsid w:val="00B102B9"/>
    <w:rsid w:val="00B22D1C"/>
    <w:rsid w:val="00B30E54"/>
    <w:rsid w:val="00B45567"/>
    <w:rsid w:val="00BB5EE3"/>
    <w:rsid w:val="00C22FAE"/>
    <w:rsid w:val="00C23CEB"/>
    <w:rsid w:val="00C26FB3"/>
    <w:rsid w:val="00C35112"/>
    <w:rsid w:val="00C7014C"/>
    <w:rsid w:val="00CB776F"/>
    <w:rsid w:val="00D02952"/>
    <w:rsid w:val="00D03EB8"/>
    <w:rsid w:val="00D248AB"/>
    <w:rsid w:val="00D26A63"/>
    <w:rsid w:val="00D40958"/>
    <w:rsid w:val="00DF14E5"/>
    <w:rsid w:val="00DF47B4"/>
    <w:rsid w:val="00E07CA9"/>
    <w:rsid w:val="00E938A3"/>
    <w:rsid w:val="00EC3F67"/>
    <w:rsid w:val="00EC4CB3"/>
    <w:rsid w:val="00EC4EC4"/>
    <w:rsid w:val="00EC7E59"/>
    <w:rsid w:val="00F374A7"/>
    <w:rsid w:val="00F41053"/>
    <w:rsid w:val="00FB4B9C"/>
    <w:rsid w:val="00FC3B85"/>
    <w:rsid w:val="00FC7D3A"/>
    <w:rsid w:val="00FE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751C2"/>
  <w15:docId w15:val="{AA146138-1D24-473F-89C3-BF75AD83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12" w:line="256" w:lineRule="auto"/>
      <w:ind w:left="10" w:right="7" w:hanging="10"/>
      <w:jc w:val="both"/>
    </w:pPr>
    <w:rPr>
      <w:rFonts w:ascii="Calibri" w:eastAsia="Calibri" w:hAnsi="Calibri" w:cs="Calibri"/>
      <w:color w:val="595959"/>
      <w:sz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A4BB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A4BB9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0A4BB9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6246EB"/>
    <w:pPr>
      <w:spacing w:after="0" w:line="240" w:lineRule="auto"/>
    </w:pPr>
    <w:rPr>
      <w:rFonts w:eastAsiaTheme="minorHAnsi"/>
      <w:lang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8B7C45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B066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06612"/>
    <w:rPr>
      <w:rFonts w:ascii="Calibri" w:eastAsia="Calibri" w:hAnsi="Calibri" w:cs="Calibri"/>
      <w:color w:val="595959"/>
      <w:sz w:val="23"/>
    </w:rPr>
  </w:style>
  <w:style w:type="paragraph" w:styleId="Rodap">
    <w:name w:val="footer"/>
    <w:basedOn w:val="Normal"/>
    <w:link w:val="RodapChar"/>
    <w:uiPriority w:val="99"/>
    <w:unhideWhenUsed/>
    <w:rsid w:val="00B066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06612"/>
    <w:rPr>
      <w:rFonts w:ascii="Calibri" w:eastAsia="Calibri" w:hAnsi="Calibri" w:cs="Calibri"/>
      <w:color w:val="595959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cp:lastModifiedBy>MARTIM AFONSO CAMPOS BARBOSA</cp:lastModifiedBy>
  <cp:revision>2</cp:revision>
  <cp:lastPrinted>2022-04-07T15:30:00Z</cp:lastPrinted>
  <dcterms:created xsi:type="dcterms:W3CDTF">2024-02-27T20:16:00Z</dcterms:created>
  <dcterms:modified xsi:type="dcterms:W3CDTF">2024-02-27T20:16:00Z</dcterms:modified>
</cp:coreProperties>
</file>